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679D" w14:textId="17515B11" w:rsidR="00E2446E" w:rsidRDefault="0046778B">
      <w:r>
        <w:t>Lee Thibodeaux Bio</w:t>
      </w:r>
    </w:p>
    <w:p w14:paraId="271F5DCA" w14:textId="795DD436" w:rsidR="0046778B" w:rsidRDefault="0046778B"/>
    <w:p w14:paraId="1FA326E9" w14:textId="330C0AC9" w:rsidR="0046778B" w:rsidRDefault="0046778B">
      <w:r>
        <w:t>Blurb:</w:t>
      </w:r>
    </w:p>
    <w:p w14:paraId="5CA05C4C" w14:textId="210EB03A" w:rsidR="0046778B" w:rsidRDefault="0046778B" w:rsidP="0046778B">
      <w:r>
        <w:t xml:space="preserve">Lee has resided in the Houston metropolitan area for most of his life.  He has been trained in DISC behavioral tendencies and effective communication strategies.  His interests include sports, golf, skiing, wine and spending time with his family.  As the son of a well-known OB/GYN, Lee has dedicated his career to helping companies and individuals involved in litigation, </w:t>
      </w:r>
      <w:r w:rsidR="00997BD7">
        <w:t xml:space="preserve">to provide </w:t>
      </w:r>
      <w:r>
        <w:t>counsel, effective resolution strategies a</w:t>
      </w:r>
      <w:r w:rsidR="00997BD7">
        <w:t xml:space="preserve">s well as </w:t>
      </w:r>
      <w:r>
        <w:t xml:space="preserve">understanding the medical issues involved in defending personal injury claims. </w:t>
      </w:r>
    </w:p>
    <w:p w14:paraId="43004465" w14:textId="69D7AED7" w:rsidR="0046778B" w:rsidRDefault="0046778B">
      <w:r>
        <w:t>Experience:</w:t>
      </w:r>
    </w:p>
    <w:p w14:paraId="6C95B176" w14:textId="77777777" w:rsidR="0046778B" w:rsidRDefault="0046778B" w:rsidP="0046778B">
      <w:r>
        <w:t xml:space="preserve">Lee is a trucking and logistics trial lawyer.  His experience also includes construction, healthcare, security, premises owners, </w:t>
      </w:r>
      <w:proofErr w:type="spellStart"/>
      <w:r>
        <w:t>petro</w:t>
      </w:r>
      <w:proofErr w:type="spellEnd"/>
      <w:r>
        <w:t xml:space="preserve">-chemical, pharmaceutical, products liability and mining.  Lee is the lead attorney in the firm’s logistics and rapid response sections and represents insureds, motor carriers and drivers across the state of Texas.  Lee’s experience includes defending catastrophic personal injury claims including wrongful death claims, trucking accidents, premises deaths, sexual assaults, fire, and chemical exposure.  Lee’s trials include the retrial of an infamous trucking case in north Texas involving multiple deaths, load securement, and vehicle operation cases.  </w:t>
      </w:r>
    </w:p>
    <w:p w14:paraId="572A92DF" w14:textId="30EC1A47" w:rsidR="0046778B" w:rsidRDefault="0046778B" w:rsidP="0046778B">
      <w:r>
        <w:t>Lee began his career as a briefing attorney for the Court of Appeals and has handled multiple appeals and Mandamus actions</w:t>
      </w:r>
      <w:r w:rsidR="00997BD7">
        <w:t>.  These appeals</w:t>
      </w:r>
      <w:r>
        <w:t xml:space="preserve"> includ</w:t>
      </w:r>
      <w:r w:rsidR="00997BD7">
        <w:t>e</w:t>
      </w:r>
      <w:r>
        <w:t xml:space="preserve"> jury verdicts, summary judgments, jurisdiction and discovery matters.  Lee spent many years at the former Fulbright &amp; Jaworski representing clients through their excess insurance coverage defending and preserving error in multiple party, high exposure personal injury cases, and assisting in birth injury cases throughout Texas and the western region of the United States.  Lee has developed a unique method of handling each case depending on the facts, insured, claimant, </w:t>
      </w:r>
      <w:proofErr w:type="gramStart"/>
      <w:r>
        <w:t>counsel</w:t>
      </w:r>
      <w:proofErr w:type="gramEnd"/>
      <w:r>
        <w:t xml:space="preserve"> and issues which has propelled him as one of the top </w:t>
      </w:r>
      <w:r w:rsidR="00997BD7">
        <w:t>attorneys</w:t>
      </w:r>
      <w:r>
        <w:t xml:space="preserve"> in his field.  </w:t>
      </w:r>
    </w:p>
    <w:p w14:paraId="58DD1BC9" w14:textId="46F08D9F" w:rsidR="0046778B" w:rsidRDefault="0046778B" w:rsidP="0046778B">
      <w:r>
        <w:t>Representative Matters:</w:t>
      </w:r>
    </w:p>
    <w:p w14:paraId="1A3C43D1" w14:textId="77777777" w:rsidR="0046778B" w:rsidRDefault="0046778B" w:rsidP="0046778B">
      <w:pPr>
        <w:pStyle w:val="ListParagraph"/>
        <w:numPr>
          <w:ilvl w:val="0"/>
          <w:numId w:val="1"/>
        </w:numPr>
        <w:rPr>
          <w:rFonts w:eastAsia="Times New Roman"/>
        </w:rPr>
      </w:pPr>
      <w:r>
        <w:rPr>
          <w:rFonts w:eastAsia="Times New Roman"/>
        </w:rPr>
        <w:t>Defense and trial of countless motor carriers and drivers in wrongful death and catastrophic injuries involving trucking accidents.</w:t>
      </w:r>
    </w:p>
    <w:p w14:paraId="1502750E" w14:textId="77777777" w:rsidR="0046778B" w:rsidRDefault="0046778B" w:rsidP="0046778B">
      <w:pPr>
        <w:pStyle w:val="ListParagraph"/>
        <w:numPr>
          <w:ilvl w:val="0"/>
          <w:numId w:val="1"/>
        </w:numPr>
        <w:rPr>
          <w:rFonts w:eastAsia="Times New Roman"/>
        </w:rPr>
      </w:pPr>
      <w:r>
        <w:rPr>
          <w:rFonts w:eastAsia="Times New Roman"/>
        </w:rPr>
        <w:t>Defense of National motor carriers in multiple injury cases across the State of Texas.</w:t>
      </w:r>
    </w:p>
    <w:p w14:paraId="1A51628B" w14:textId="77777777" w:rsidR="0046778B" w:rsidRDefault="0046778B" w:rsidP="0046778B">
      <w:pPr>
        <w:pStyle w:val="ListParagraph"/>
        <w:numPr>
          <w:ilvl w:val="0"/>
          <w:numId w:val="1"/>
        </w:numPr>
        <w:rPr>
          <w:rFonts w:eastAsia="Times New Roman"/>
        </w:rPr>
      </w:pPr>
      <w:r>
        <w:rPr>
          <w:rFonts w:eastAsia="Times New Roman"/>
        </w:rPr>
        <w:t>Defending concrete mixer trucks and concrete manufacturer in multiple fatality and plant accident cases.</w:t>
      </w:r>
    </w:p>
    <w:p w14:paraId="3F3E3AC6" w14:textId="552F854E" w:rsidR="0046778B" w:rsidRDefault="0046778B" w:rsidP="0046778B">
      <w:pPr>
        <w:pStyle w:val="ListParagraph"/>
        <w:numPr>
          <w:ilvl w:val="0"/>
          <w:numId w:val="1"/>
        </w:numPr>
        <w:rPr>
          <w:rFonts w:eastAsia="Times New Roman"/>
        </w:rPr>
      </w:pPr>
      <w:r>
        <w:rPr>
          <w:rFonts w:eastAsia="Times New Roman"/>
        </w:rPr>
        <w:t>Defense and trial of subcontractor in construction defect cases involving multiple projects</w:t>
      </w:r>
      <w:r w:rsidR="00093100">
        <w:rPr>
          <w:rFonts w:eastAsia="Times New Roman"/>
        </w:rPr>
        <w:t xml:space="preserve"> toa take nothing judgment</w:t>
      </w:r>
      <w:r>
        <w:rPr>
          <w:rFonts w:eastAsia="Times New Roman"/>
        </w:rPr>
        <w:t>.</w:t>
      </w:r>
    </w:p>
    <w:p w14:paraId="51619452" w14:textId="6CB8E849" w:rsidR="0046778B" w:rsidRDefault="0046778B" w:rsidP="0046778B">
      <w:pPr>
        <w:pStyle w:val="ListParagraph"/>
        <w:numPr>
          <w:ilvl w:val="0"/>
          <w:numId w:val="1"/>
        </w:numPr>
        <w:rPr>
          <w:rFonts w:eastAsia="Times New Roman"/>
        </w:rPr>
      </w:pPr>
      <w:r>
        <w:rPr>
          <w:rFonts w:eastAsia="Times New Roman"/>
        </w:rPr>
        <w:t>Defense of fuel hauling carrier in multiple catastrophic injury cases.</w:t>
      </w:r>
    </w:p>
    <w:p w14:paraId="0CB43833" w14:textId="0FD4C0B1" w:rsidR="00997BD7" w:rsidRDefault="00997BD7" w:rsidP="0046778B">
      <w:pPr>
        <w:pStyle w:val="ListParagraph"/>
        <w:numPr>
          <w:ilvl w:val="0"/>
          <w:numId w:val="1"/>
        </w:numPr>
        <w:rPr>
          <w:rFonts w:eastAsia="Times New Roman"/>
        </w:rPr>
      </w:pPr>
      <w:r>
        <w:rPr>
          <w:rFonts w:eastAsia="Times New Roman"/>
        </w:rPr>
        <w:t>Defense of trailer leasing companies in catastrophic injury cases.</w:t>
      </w:r>
    </w:p>
    <w:p w14:paraId="58262616" w14:textId="7854715B" w:rsidR="00997BD7" w:rsidRDefault="00997BD7" w:rsidP="0046778B">
      <w:pPr>
        <w:pStyle w:val="ListParagraph"/>
        <w:numPr>
          <w:ilvl w:val="0"/>
          <w:numId w:val="1"/>
        </w:numPr>
        <w:rPr>
          <w:rFonts w:eastAsia="Times New Roman"/>
        </w:rPr>
      </w:pPr>
      <w:r>
        <w:rPr>
          <w:rFonts w:eastAsia="Times New Roman"/>
        </w:rPr>
        <w:t>Defense of suppliers and motor carriers in load incident cases.</w:t>
      </w:r>
    </w:p>
    <w:p w14:paraId="2783F830" w14:textId="77777777" w:rsidR="0046778B" w:rsidRDefault="0046778B" w:rsidP="0046778B">
      <w:pPr>
        <w:pStyle w:val="ListParagraph"/>
        <w:numPr>
          <w:ilvl w:val="0"/>
          <w:numId w:val="1"/>
        </w:numPr>
        <w:rPr>
          <w:rFonts w:eastAsia="Times New Roman"/>
        </w:rPr>
      </w:pPr>
      <w:r>
        <w:rPr>
          <w:rFonts w:eastAsia="Times New Roman"/>
        </w:rPr>
        <w:t>Defense of hospital systems and nurses in birth trauma cases including cord compression, cord prolapse, placental abruption and uterine rupture.</w:t>
      </w:r>
    </w:p>
    <w:p w14:paraId="0CD52095" w14:textId="77777777" w:rsidR="0046778B" w:rsidRDefault="0046778B" w:rsidP="0046778B">
      <w:pPr>
        <w:pStyle w:val="ListParagraph"/>
        <w:numPr>
          <w:ilvl w:val="0"/>
          <w:numId w:val="1"/>
        </w:numPr>
        <w:rPr>
          <w:rFonts w:eastAsia="Times New Roman"/>
        </w:rPr>
      </w:pPr>
      <w:r>
        <w:rPr>
          <w:rFonts w:eastAsia="Times New Roman"/>
        </w:rPr>
        <w:t>Defense of multiple apartment complexes related to alleged sexual assaults.</w:t>
      </w:r>
    </w:p>
    <w:p w14:paraId="674FB11E" w14:textId="77777777" w:rsidR="0046778B" w:rsidRDefault="0046778B" w:rsidP="0046778B">
      <w:pPr>
        <w:pStyle w:val="ListParagraph"/>
        <w:numPr>
          <w:ilvl w:val="0"/>
          <w:numId w:val="1"/>
        </w:numPr>
        <w:rPr>
          <w:rFonts w:eastAsia="Times New Roman"/>
        </w:rPr>
      </w:pPr>
      <w:r>
        <w:rPr>
          <w:rFonts w:eastAsia="Times New Roman"/>
        </w:rPr>
        <w:t>Defense of national retailers in premises cases.</w:t>
      </w:r>
    </w:p>
    <w:p w14:paraId="774AC68E" w14:textId="36A51E8B" w:rsidR="0046778B" w:rsidRDefault="0046778B" w:rsidP="0046778B">
      <w:pPr>
        <w:pStyle w:val="ListParagraph"/>
        <w:numPr>
          <w:ilvl w:val="0"/>
          <w:numId w:val="1"/>
        </w:numPr>
        <w:rPr>
          <w:rFonts w:eastAsia="Times New Roman"/>
        </w:rPr>
      </w:pPr>
      <w:r>
        <w:rPr>
          <w:rFonts w:eastAsia="Times New Roman"/>
        </w:rPr>
        <w:t>Defense of property owner concerning targeted criminal conduct.</w:t>
      </w:r>
    </w:p>
    <w:p w14:paraId="6A138F30" w14:textId="40CCDF85" w:rsidR="0046778B" w:rsidRPr="00093100" w:rsidRDefault="0046778B" w:rsidP="00093100">
      <w:pPr>
        <w:pStyle w:val="ListParagraph"/>
        <w:numPr>
          <w:ilvl w:val="0"/>
          <w:numId w:val="5"/>
        </w:numPr>
        <w:rPr>
          <w:rFonts w:eastAsia="Times New Roman"/>
        </w:rPr>
      </w:pPr>
      <w:r w:rsidRPr="00093100">
        <w:rPr>
          <w:rFonts w:eastAsia="Times New Roman"/>
        </w:rPr>
        <w:t>Defense multiple regional health systems and multiple hospitals in western U.S. in alleged birth trauma cases including cord prolapse, placental abruption, uterine rupture.</w:t>
      </w:r>
    </w:p>
    <w:p w14:paraId="0B691762" w14:textId="62ACCB76" w:rsidR="0046778B" w:rsidRPr="00093100" w:rsidRDefault="0046778B" w:rsidP="00093100">
      <w:pPr>
        <w:pStyle w:val="ListParagraph"/>
        <w:numPr>
          <w:ilvl w:val="0"/>
          <w:numId w:val="5"/>
        </w:numPr>
        <w:rPr>
          <w:rFonts w:eastAsia="Times New Roman"/>
        </w:rPr>
      </w:pPr>
      <w:r w:rsidRPr="00093100">
        <w:rPr>
          <w:rFonts w:eastAsia="Times New Roman"/>
        </w:rPr>
        <w:t>Assisted in the defense of a regional healthcare system in abduction of invitee.</w:t>
      </w:r>
    </w:p>
    <w:p w14:paraId="59B2B024" w14:textId="68059106" w:rsidR="0046778B" w:rsidRPr="00093100" w:rsidRDefault="0046778B" w:rsidP="00093100">
      <w:pPr>
        <w:pStyle w:val="ListParagraph"/>
        <w:numPr>
          <w:ilvl w:val="0"/>
          <w:numId w:val="5"/>
        </w:numPr>
        <w:rPr>
          <w:rFonts w:eastAsia="Times New Roman"/>
        </w:rPr>
      </w:pPr>
      <w:r w:rsidRPr="00093100">
        <w:rPr>
          <w:rFonts w:eastAsia="Times New Roman"/>
        </w:rPr>
        <w:t>Defense of multiple physicians in birth and surgical injury cases.</w:t>
      </w:r>
    </w:p>
    <w:p w14:paraId="371C2EFE" w14:textId="31DE7759" w:rsidR="0046778B" w:rsidRPr="00093100" w:rsidRDefault="0046778B" w:rsidP="00093100">
      <w:pPr>
        <w:pStyle w:val="ListParagraph"/>
        <w:numPr>
          <w:ilvl w:val="0"/>
          <w:numId w:val="5"/>
        </w:numPr>
        <w:rPr>
          <w:rFonts w:eastAsia="Times New Roman"/>
        </w:rPr>
      </w:pPr>
      <w:r w:rsidRPr="00093100">
        <w:rPr>
          <w:rFonts w:eastAsia="Times New Roman"/>
        </w:rPr>
        <w:t>Defense of property owner concerning a targeted murder of a tenant.</w:t>
      </w:r>
    </w:p>
    <w:p w14:paraId="70344C46" w14:textId="3192ECC8" w:rsidR="0046778B" w:rsidRPr="00093100" w:rsidRDefault="0046778B" w:rsidP="00093100">
      <w:pPr>
        <w:pStyle w:val="ListParagraph"/>
        <w:numPr>
          <w:ilvl w:val="0"/>
          <w:numId w:val="5"/>
        </w:numPr>
        <w:rPr>
          <w:rFonts w:eastAsia="Times New Roman"/>
        </w:rPr>
      </w:pPr>
      <w:r w:rsidRPr="00093100">
        <w:rPr>
          <w:rFonts w:eastAsia="Times New Roman"/>
        </w:rPr>
        <w:t>Assisted in successful re-trial of multiple fatality trucking accident to a zero verdict.</w:t>
      </w:r>
    </w:p>
    <w:p w14:paraId="56B800FF" w14:textId="685F5223" w:rsidR="0046778B" w:rsidRPr="00093100" w:rsidRDefault="0046778B" w:rsidP="00093100">
      <w:pPr>
        <w:pStyle w:val="ListParagraph"/>
        <w:numPr>
          <w:ilvl w:val="0"/>
          <w:numId w:val="5"/>
        </w:numPr>
        <w:rPr>
          <w:rFonts w:eastAsia="Times New Roman"/>
        </w:rPr>
      </w:pPr>
      <w:r w:rsidRPr="00093100">
        <w:rPr>
          <w:rFonts w:eastAsia="Times New Roman"/>
        </w:rPr>
        <w:t>Defense of fuel hauling company in catastrophic personal injury cases.</w:t>
      </w:r>
    </w:p>
    <w:p w14:paraId="77918127" w14:textId="26D9A34E" w:rsidR="0046778B" w:rsidRPr="00093100" w:rsidRDefault="0046778B" w:rsidP="00093100">
      <w:pPr>
        <w:pStyle w:val="ListParagraph"/>
        <w:numPr>
          <w:ilvl w:val="0"/>
          <w:numId w:val="5"/>
        </w:numPr>
        <w:rPr>
          <w:rFonts w:eastAsia="Times New Roman"/>
        </w:rPr>
      </w:pPr>
      <w:r w:rsidRPr="00093100">
        <w:rPr>
          <w:rFonts w:eastAsia="Times New Roman"/>
        </w:rPr>
        <w:t>Defense of chemical companies in alleged exposure death cases.</w:t>
      </w:r>
    </w:p>
    <w:p w14:paraId="789688E1" w14:textId="20594049" w:rsidR="0046778B" w:rsidRDefault="0046778B" w:rsidP="001604B6">
      <w:pPr>
        <w:spacing w:after="0" w:line="240" w:lineRule="auto"/>
        <w:ind w:left="562"/>
        <w:rPr>
          <w:rFonts w:eastAsia="Times New Roman"/>
        </w:rPr>
      </w:pPr>
    </w:p>
    <w:p w14:paraId="1B03FBC0" w14:textId="27F2F618" w:rsidR="001604B6" w:rsidRDefault="001604B6" w:rsidP="001604B6">
      <w:pPr>
        <w:spacing w:after="0" w:line="240" w:lineRule="auto"/>
        <w:ind w:left="562"/>
        <w:rPr>
          <w:rFonts w:eastAsia="Times New Roman"/>
        </w:rPr>
      </w:pPr>
      <w:r>
        <w:rPr>
          <w:rFonts w:eastAsia="Times New Roman"/>
        </w:rPr>
        <w:t>Associations and Memberships:</w:t>
      </w:r>
    </w:p>
    <w:p w14:paraId="2ED7BE6D" w14:textId="25B12EEB" w:rsidR="001604B6" w:rsidRDefault="001604B6" w:rsidP="001604B6">
      <w:pPr>
        <w:spacing w:after="0" w:line="240" w:lineRule="auto"/>
        <w:ind w:left="562"/>
        <w:rPr>
          <w:rFonts w:eastAsia="Times New Roman"/>
        </w:rPr>
      </w:pPr>
    </w:p>
    <w:p w14:paraId="0D07F0D6" w14:textId="77777777" w:rsidR="001604B6" w:rsidRPr="001604B6" w:rsidRDefault="001604B6" w:rsidP="001604B6">
      <w:pPr>
        <w:spacing w:after="0" w:line="240" w:lineRule="auto"/>
        <w:ind w:left="562"/>
        <w:rPr>
          <w:rFonts w:eastAsia="Times New Roman"/>
        </w:rPr>
      </w:pPr>
      <w:r w:rsidRPr="001604B6">
        <w:rPr>
          <w:rFonts w:eastAsia="Times New Roman"/>
        </w:rPr>
        <w:t>•</w:t>
      </w:r>
      <w:r w:rsidRPr="001604B6">
        <w:rPr>
          <w:rFonts w:eastAsia="Times New Roman"/>
        </w:rPr>
        <w:tab/>
        <w:t>State Bar of Texas Pro Bono College</w:t>
      </w:r>
    </w:p>
    <w:p w14:paraId="1961C69D" w14:textId="04AEF2C0" w:rsidR="001604B6" w:rsidRDefault="001604B6" w:rsidP="001604B6">
      <w:pPr>
        <w:spacing w:after="0" w:line="240" w:lineRule="auto"/>
        <w:ind w:left="562"/>
        <w:rPr>
          <w:rFonts w:eastAsia="Times New Roman"/>
        </w:rPr>
      </w:pPr>
      <w:r w:rsidRPr="001604B6">
        <w:rPr>
          <w:rFonts w:eastAsia="Times New Roman"/>
        </w:rPr>
        <w:t>•</w:t>
      </w:r>
      <w:r w:rsidRPr="001604B6">
        <w:rPr>
          <w:rFonts w:eastAsia="Times New Roman"/>
        </w:rPr>
        <w:tab/>
        <w:t>Instructor at South Texas College of Law</w:t>
      </w:r>
    </w:p>
    <w:p w14:paraId="0EA7F26F" w14:textId="77777777" w:rsidR="001604B6" w:rsidRDefault="001604B6" w:rsidP="001604B6">
      <w:pPr>
        <w:spacing w:after="0" w:line="240" w:lineRule="auto"/>
        <w:ind w:left="562"/>
        <w:rPr>
          <w:rFonts w:eastAsia="Times New Roman"/>
        </w:rPr>
      </w:pPr>
    </w:p>
    <w:p w14:paraId="349E4A3C" w14:textId="033F6E35" w:rsidR="0046778B" w:rsidRDefault="0046778B" w:rsidP="001604B6">
      <w:pPr>
        <w:spacing w:after="0" w:line="240" w:lineRule="auto"/>
        <w:ind w:left="562"/>
        <w:rPr>
          <w:rFonts w:eastAsia="Times New Roman"/>
        </w:rPr>
      </w:pPr>
      <w:r>
        <w:rPr>
          <w:rFonts w:eastAsia="Times New Roman"/>
        </w:rPr>
        <w:t>Education:</w:t>
      </w:r>
    </w:p>
    <w:p w14:paraId="3373A658" w14:textId="77777777" w:rsidR="001604B6" w:rsidRDefault="001604B6" w:rsidP="001604B6">
      <w:pPr>
        <w:spacing w:after="0" w:line="240" w:lineRule="auto"/>
        <w:ind w:left="562"/>
        <w:rPr>
          <w:rFonts w:eastAsia="Times New Roman"/>
        </w:rPr>
      </w:pPr>
    </w:p>
    <w:p w14:paraId="16D0F4B6" w14:textId="77777777" w:rsidR="0046778B" w:rsidRPr="0046778B" w:rsidRDefault="0046778B" w:rsidP="001604B6">
      <w:pPr>
        <w:spacing w:after="0" w:line="240" w:lineRule="auto"/>
        <w:ind w:left="562"/>
        <w:rPr>
          <w:rFonts w:eastAsia="Times New Roman"/>
        </w:rPr>
      </w:pPr>
      <w:r w:rsidRPr="0046778B">
        <w:rPr>
          <w:rFonts w:eastAsia="Times New Roman"/>
        </w:rPr>
        <w:t>•</w:t>
      </w:r>
      <w:r w:rsidRPr="0046778B">
        <w:rPr>
          <w:rFonts w:eastAsia="Times New Roman"/>
        </w:rPr>
        <w:tab/>
        <w:t>South Texas College of Law</w:t>
      </w:r>
    </w:p>
    <w:p w14:paraId="6948A8D4" w14:textId="77777777" w:rsidR="0046778B" w:rsidRPr="0046778B" w:rsidRDefault="0046778B" w:rsidP="001604B6">
      <w:pPr>
        <w:spacing w:after="0" w:line="240" w:lineRule="auto"/>
        <w:ind w:left="562"/>
        <w:rPr>
          <w:rFonts w:eastAsia="Times New Roman"/>
        </w:rPr>
      </w:pPr>
      <w:r w:rsidRPr="0046778B">
        <w:rPr>
          <w:rFonts w:eastAsia="Times New Roman"/>
        </w:rPr>
        <w:t>•</w:t>
      </w:r>
      <w:r w:rsidRPr="0046778B">
        <w:rPr>
          <w:rFonts w:eastAsia="Times New Roman"/>
        </w:rPr>
        <w:tab/>
        <w:t>Doctor of Jurisprudence, 1988</w:t>
      </w:r>
    </w:p>
    <w:p w14:paraId="2381CE7E" w14:textId="77777777" w:rsidR="0046778B" w:rsidRPr="0046778B" w:rsidRDefault="0046778B" w:rsidP="001604B6">
      <w:pPr>
        <w:spacing w:after="0" w:line="240" w:lineRule="auto"/>
        <w:ind w:left="562"/>
        <w:rPr>
          <w:rFonts w:eastAsia="Times New Roman"/>
        </w:rPr>
      </w:pPr>
      <w:r w:rsidRPr="0046778B">
        <w:rPr>
          <w:rFonts w:eastAsia="Times New Roman"/>
        </w:rPr>
        <w:t>•</w:t>
      </w:r>
      <w:r w:rsidRPr="0046778B">
        <w:rPr>
          <w:rFonts w:eastAsia="Times New Roman"/>
        </w:rPr>
        <w:tab/>
        <w:t>Sam Houston State University</w:t>
      </w:r>
    </w:p>
    <w:p w14:paraId="45DB8CD1" w14:textId="77777777" w:rsidR="0046778B" w:rsidRPr="0046778B" w:rsidRDefault="0046778B" w:rsidP="001604B6">
      <w:pPr>
        <w:spacing w:after="0" w:line="240" w:lineRule="auto"/>
        <w:ind w:left="562"/>
        <w:rPr>
          <w:rFonts w:eastAsia="Times New Roman"/>
        </w:rPr>
      </w:pPr>
      <w:r w:rsidRPr="0046778B">
        <w:rPr>
          <w:rFonts w:eastAsia="Times New Roman"/>
        </w:rPr>
        <w:t>•</w:t>
      </w:r>
      <w:r w:rsidRPr="0046778B">
        <w:rPr>
          <w:rFonts w:eastAsia="Times New Roman"/>
        </w:rPr>
        <w:tab/>
        <w:t>B.</w:t>
      </w:r>
      <w:proofErr w:type="gramStart"/>
      <w:r w:rsidRPr="0046778B">
        <w:rPr>
          <w:rFonts w:eastAsia="Times New Roman"/>
        </w:rPr>
        <w:t>B.A</w:t>
      </w:r>
      <w:proofErr w:type="gramEnd"/>
      <w:r w:rsidRPr="0046778B">
        <w:rPr>
          <w:rFonts w:eastAsia="Times New Roman"/>
        </w:rPr>
        <w:t>- Finance, 1985</w:t>
      </w:r>
    </w:p>
    <w:p w14:paraId="5F0A2A29" w14:textId="0E69C6FF" w:rsidR="0046778B" w:rsidRDefault="0046778B" w:rsidP="001604B6">
      <w:pPr>
        <w:spacing w:after="0" w:line="240" w:lineRule="auto"/>
        <w:ind w:left="562"/>
        <w:rPr>
          <w:rFonts w:eastAsia="Times New Roman"/>
        </w:rPr>
      </w:pPr>
      <w:r w:rsidRPr="0046778B">
        <w:rPr>
          <w:rFonts w:eastAsia="Times New Roman"/>
        </w:rPr>
        <w:t>•</w:t>
      </w:r>
      <w:r w:rsidRPr="0046778B">
        <w:rPr>
          <w:rFonts w:eastAsia="Times New Roman"/>
        </w:rPr>
        <w:tab/>
      </w:r>
      <w:proofErr w:type="spellStart"/>
      <w:r w:rsidRPr="0046778B">
        <w:rPr>
          <w:rFonts w:eastAsia="Times New Roman"/>
        </w:rPr>
        <w:t>AV®Preeminent</w:t>
      </w:r>
      <w:proofErr w:type="spellEnd"/>
      <w:r w:rsidRPr="0046778B">
        <w:rPr>
          <w:rFonts w:eastAsia="Times New Roman"/>
        </w:rPr>
        <w:t xml:space="preserve"> rated Attorney by Martindale-Hubbell</w:t>
      </w:r>
    </w:p>
    <w:p w14:paraId="71FC4CC0" w14:textId="7719610D" w:rsidR="001604B6" w:rsidRDefault="001604B6" w:rsidP="001604B6">
      <w:pPr>
        <w:spacing w:after="0" w:line="240" w:lineRule="auto"/>
        <w:ind w:left="562"/>
        <w:rPr>
          <w:rFonts w:eastAsia="Times New Roman"/>
        </w:rPr>
      </w:pPr>
    </w:p>
    <w:p w14:paraId="23AD20F1" w14:textId="730F8D38" w:rsidR="001604B6" w:rsidRDefault="001604B6" w:rsidP="001604B6">
      <w:pPr>
        <w:spacing w:after="0" w:line="240" w:lineRule="auto"/>
        <w:ind w:left="562"/>
        <w:rPr>
          <w:rFonts w:eastAsia="Times New Roman"/>
        </w:rPr>
      </w:pPr>
      <w:r>
        <w:rPr>
          <w:rFonts w:eastAsia="Times New Roman"/>
        </w:rPr>
        <w:t>Bar Admission:</w:t>
      </w:r>
    </w:p>
    <w:p w14:paraId="36A984D2" w14:textId="77777777" w:rsidR="001604B6" w:rsidRPr="0046778B" w:rsidRDefault="001604B6" w:rsidP="001604B6">
      <w:pPr>
        <w:spacing w:after="0" w:line="240" w:lineRule="auto"/>
        <w:ind w:left="562"/>
        <w:rPr>
          <w:rFonts w:eastAsia="Times New Roman"/>
        </w:rPr>
      </w:pPr>
    </w:p>
    <w:p w14:paraId="3E4B7A16" w14:textId="7DCF4CD1" w:rsidR="001604B6" w:rsidRDefault="001604B6" w:rsidP="001604B6">
      <w:pPr>
        <w:spacing w:after="0" w:line="240" w:lineRule="auto"/>
        <w:ind w:firstLine="562"/>
      </w:pPr>
      <w:r>
        <w:t>`</w:t>
      </w:r>
      <w:r>
        <w:tab/>
        <w:t>• United States District Court for the Southern</w:t>
      </w:r>
      <w:r w:rsidR="00093100">
        <w:t>, Western, Easter and Northern</w:t>
      </w:r>
      <w:r>
        <w:t xml:space="preserve"> District</w:t>
      </w:r>
      <w:r w:rsidR="00093100">
        <w:t>s</w:t>
      </w:r>
      <w:r>
        <w:t xml:space="preserve"> of Texas</w:t>
      </w:r>
    </w:p>
    <w:p w14:paraId="7097755B" w14:textId="1F7DABC6" w:rsidR="001604B6" w:rsidRDefault="001604B6" w:rsidP="001604B6">
      <w:pPr>
        <w:spacing w:after="0" w:line="240" w:lineRule="auto"/>
        <w:ind w:firstLine="720"/>
      </w:pPr>
      <w:r>
        <w:t>• Texas Association of Defense Counsel.</w:t>
      </w:r>
    </w:p>
    <w:p w14:paraId="1575F4EA" w14:textId="7C3E7F82" w:rsidR="0046778B" w:rsidRDefault="001604B6" w:rsidP="001604B6">
      <w:pPr>
        <w:spacing w:after="0" w:line="240" w:lineRule="auto"/>
        <w:ind w:firstLine="720"/>
      </w:pPr>
      <w:r>
        <w:t>• Houston Bar Association</w:t>
      </w:r>
    </w:p>
    <w:p w14:paraId="6915C983" w14:textId="1AFF39F0" w:rsidR="001604B6" w:rsidRDefault="001604B6" w:rsidP="001604B6">
      <w:pPr>
        <w:spacing w:after="0" w:line="240" w:lineRule="auto"/>
        <w:ind w:firstLine="720"/>
      </w:pPr>
      <w:r>
        <w:t>• United States Court of Appeals, 5th Circuit</w:t>
      </w:r>
    </w:p>
    <w:p w14:paraId="03E08AD9" w14:textId="5AD0D6B5" w:rsidR="001604B6" w:rsidRDefault="001604B6" w:rsidP="001604B6">
      <w:pPr>
        <w:spacing w:after="0" w:line="240" w:lineRule="auto"/>
        <w:ind w:firstLine="720"/>
      </w:pPr>
      <w:r>
        <w:t>• United States Court of Claims</w:t>
      </w:r>
    </w:p>
    <w:p w14:paraId="04AE90DF" w14:textId="0CD4A52F" w:rsidR="001604B6" w:rsidRDefault="001604B6" w:rsidP="001604B6">
      <w:pPr>
        <w:spacing w:after="0" w:line="240" w:lineRule="auto"/>
        <w:ind w:firstLine="720"/>
      </w:pPr>
    </w:p>
    <w:p w14:paraId="2DBBC866" w14:textId="1803ABBA" w:rsidR="0046778B" w:rsidRDefault="0046778B"/>
    <w:p w14:paraId="5FDFBAA9" w14:textId="2627FCDA" w:rsidR="0046778B" w:rsidRDefault="008C7F03">
      <w:r>
        <w:tab/>
        <w:t>Publications and Webinars:</w:t>
      </w:r>
    </w:p>
    <w:p w14:paraId="0B3A80A3" w14:textId="00B06AD4" w:rsidR="00093100" w:rsidRDefault="00093100" w:rsidP="00093100">
      <w:pPr>
        <w:pStyle w:val="ListParagraph"/>
        <w:numPr>
          <w:ilvl w:val="0"/>
          <w:numId w:val="4"/>
        </w:numPr>
      </w:pPr>
      <w:r>
        <w:t>“Vehicle restraints and Biomechanics of injuries” Gavel Conference, 2019</w:t>
      </w:r>
    </w:p>
    <w:p w14:paraId="5E6598BF" w14:textId="224CA67B" w:rsidR="00093100" w:rsidRDefault="00093100" w:rsidP="00093100">
      <w:pPr>
        <w:pStyle w:val="ListParagraph"/>
        <w:numPr>
          <w:ilvl w:val="0"/>
          <w:numId w:val="4"/>
        </w:numPr>
      </w:pPr>
      <w:r>
        <w:t>“ESI Epidemic”.  Gavel Conference 202</w:t>
      </w:r>
      <w:r w:rsidR="009A238E">
        <w:t>1</w:t>
      </w:r>
    </w:p>
    <w:p w14:paraId="7AA1C5AE" w14:textId="337B3B0E" w:rsidR="00093100" w:rsidRDefault="00093100" w:rsidP="00093100">
      <w:pPr>
        <w:pStyle w:val="ListParagraph"/>
        <w:numPr>
          <w:ilvl w:val="0"/>
          <w:numId w:val="4"/>
        </w:numPr>
      </w:pPr>
      <w:r>
        <w:t>“Technology in the Courtroom” Gavel Conference, 2019</w:t>
      </w:r>
    </w:p>
    <w:p w14:paraId="19956899" w14:textId="6B1F1DBA" w:rsidR="009A238E" w:rsidRDefault="009A238E" w:rsidP="00093100">
      <w:pPr>
        <w:pStyle w:val="ListParagraph"/>
        <w:numPr>
          <w:ilvl w:val="0"/>
          <w:numId w:val="4"/>
        </w:numPr>
      </w:pPr>
      <w:r>
        <w:t>“Nursing Home Litigation” University of Texas Law School, The Review of Litigation Seminar, 1999</w:t>
      </w:r>
    </w:p>
    <w:p w14:paraId="649BB672" w14:textId="14C2F2A0" w:rsidR="008C7F03" w:rsidRDefault="008C7F03" w:rsidP="00093100">
      <w:pPr>
        <w:pStyle w:val="ListParagraph"/>
        <w:numPr>
          <w:ilvl w:val="0"/>
          <w:numId w:val="7"/>
        </w:numPr>
      </w:pPr>
      <w:r>
        <w:t xml:space="preserve">"A Potential New Defense </w:t>
      </w:r>
      <w:proofErr w:type="gramStart"/>
      <w:r>
        <w:t>In</w:t>
      </w:r>
      <w:proofErr w:type="gramEnd"/>
      <w:r>
        <w:t xml:space="preserve"> Medical Malpractice Cases", Law360, April, 2014.</w:t>
      </w:r>
    </w:p>
    <w:p w14:paraId="44B31CB0" w14:textId="1988812F" w:rsidR="008C7F03" w:rsidRDefault="008C7F03" w:rsidP="009A238E">
      <w:pPr>
        <w:pStyle w:val="ListParagraph"/>
        <w:numPr>
          <w:ilvl w:val="0"/>
          <w:numId w:val="7"/>
        </w:numPr>
      </w:pPr>
      <w:r>
        <w:t>"EMTALA", "Medical Records Security'' and "Guide to Physician Testimony", Harris County Medical Society.</w:t>
      </w:r>
    </w:p>
    <w:p w14:paraId="26606DA5" w14:textId="5F351798" w:rsidR="008C7F03" w:rsidRDefault="008C7F03" w:rsidP="009A238E">
      <w:pPr>
        <w:pStyle w:val="ListParagraph"/>
        <w:numPr>
          <w:ilvl w:val="0"/>
          <w:numId w:val="7"/>
        </w:numPr>
      </w:pPr>
      <w:r>
        <w:t>"Anatomy of a Lawsuit", Association of Legal Nurse Consultants.</w:t>
      </w:r>
    </w:p>
    <w:p w14:paraId="671C0318" w14:textId="660FB7DE" w:rsidR="008C7F03" w:rsidRDefault="009A238E" w:rsidP="009A238E">
      <w:pPr>
        <w:pStyle w:val="ListParagraph"/>
        <w:numPr>
          <w:ilvl w:val="0"/>
          <w:numId w:val="7"/>
        </w:numPr>
      </w:pPr>
      <w:r>
        <w:t>“</w:t>
      </w:r>
      <w:r w:rsidR="008C7F03">
        <w:t>Neuropsychologist and Strategies to Combat Traumatic Brain Injury Claims</w:t>
      </w:r>
      <w:r>
        <w:t>”</w:t>
      </w:r>
      <w:r w:rsidR="008C7F03">
        <w:t xml:space="preserve"> Gavel Conference, 2018</w:t>
      </w:r>
    </w:p>
    <w:p w14:paraId="1B1175CE" w14:textId="77777777" w:rsidR="008C7F03" w:rsidRDefault="008C7F03" w:rsidP="008C7F03">
      <w:pPr>
        <w:pStyle w:val="ListParagraph"/>
        <w:numPr>
          <w:ilvl w:val="0"/>
          <w:numId w:val="4"/>
        </w:numPr>
      </w:pPr>
      <w:r>
        <w:t>“Medical Malpractice Litigation” South Texas College of Law, Legal Medicine Course, 2009 – 2017.</w:t>
      </w:r>
    </w:p>
    <w:p w14:paraId="7CE52B4F" w14:textId="77777777" w:rsidR="008C7F03" w:rsidRDefault="008C7F03" w:rsidP="008C7F03">
      <w:pPr>
        <w:spacing w:after="0"/>
        <w:ind w:firstLine="720"/>
      </w:pPr>
    </w:p>
    <w:sectPr w:rsidR="008C7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6DC"/>
    <w:multiLevelType w:val="hybridMultilevel"/>
    <w:tmpl w:val="C2024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E164CC"/>
    <w:multiLevelType w:val="hybridMultilevel"/>
    <w:tmpl w:val="80E07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6809E0"/>
    <w:multiLevelType w:val="hybridMultilevel"/>
    <w:tmpl w:val="F7A2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C3D54"/>
    <w:multiLevelType w:val="hybridMultilevel"/>
    <w:tmpl w:val="F3824BF6"/>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4" w15:restartNumberingAfterBreak="0">
    <w:nsid w:val="2F981631"/>
    <w:multiLevelType w:val="hybridMultilevel"/>
    <w:tmpl w:val="35429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AA5760"/>
    <w:multiLevelType w:val="hybridMultilevel"/>
    <w:tmpl w:val="AA48047C"/>
    <w:lvl w:ilvl="0" w:tplc="52F023E6">
      <w:numFmt w:val="bullet"/>
      <w:lvlText w:val="•"/>
      <w:lvlJc w:val="left"/>
      <w:pPr>
        <w:ind w:left="922" w:hanging="360"/>
      </w:pPr>
      <w:rPr>
        <w:rFonts w:ascii="Calibri" w:eastAsia="Times New Roman" w:hAnsi="Calibri" w:cs="Calibri" w:hint="default"/>
      </w:rPr>
    </w:lvl>
    <w:lvl w:ilvl="1" w:tplc="04090003">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8B"/>
    <w:rsid w:val="00093100"/>
    <w:rsid w:val="001604B6"/>
    <w:rsid w:val="00416172"/>
    <w:rsid w:val="0046778B"/>
    <w:rsid w:val="008C7F03"/>
    <w:rsid w:val="00997BD7"/>
    <w:rsid w:val="009A238E"/>
    <w:rsid w:val="00E2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33A3"/>
  <w15:chartTrackingRefBased/>
  <w15:docId w15:val="{8E5F0BD0-7084-4D40-BFCE-D38D7EFB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78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04505">
      <w:bodyDiv w:val="1"/>
      <w:marLeft w:val="0"/>
      <w:marRight w:val="0"/>
      <w:marTop w:val="0"/>
      <w:marBottom w:val="0"/>
      <w:divBdr>
        <w:top w:val="none" w:sz="0" w:space="0" w:color="auto"/>
        <w:left w:val="none" w:sz="0" w:space="0" w:color="auto"/>
        <w:bottom w:val="none" w:sz="0" w:space="0" w:color="auto"/>
        <w:right w:val="none" w:sz="0" w:space="0" w:color="auto"/>
      </w:divBdr>
    </w:div>
    <w:div w:id="1682002719">
      <w:bodyDiv w:val="1"/>
      <w:marLeft w:val="0"/>
      <w:marRight w:val="0"/>
      <w:marTop w:val="0"/>
      <w:marBottom w:val="0"/>
      <w:divBdr>
        <w:top w:val="none" w:sz="0" w:space="0" w:color="auto"/>
        <w:left w:val="none" w:sz="0" w:space="0" w:color="auto"/>
        <w:bottom w:val="none" w:sz="0" w:space="0" w:color="auto"/>
        <w:right w:val="none" w:sz="0" w:space="0" w:color="auto"/>
      </w:divBdr>
    </w:div>
    <w:div w:id="1721322754">
      <w:bodyDiv w:val="1"/>
      <w:marLeft w:val="0"/>
      <w:marRight w:val="0"/>
      <w:marTop w:val="0"/>
      <w:marBottom w:val="0"/>
      <w:divBdr>
        <w:top w:val="none" w:sz="0" w:space="0" w:color="auto"/>
        <w:left w:val="none" w:sz="0" w:space="0" w:color="auto"/>
        <w:bottom w:val="none" w:sz="0" w:space="0" w:color="auto"/>
        <w:right w:val="none" w:sz="0" w:space="0" w:color="auto"/>
      </w:divBdr>
    </w:div>
    <w:div w:id="20852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Graveley</dc:creator>
  <cp:keywords/>
  <dc:description/>
  <cp:lastModifiedBy>Lee Thibodeaux</cp:lastModifiedBy>
  <cp:revision>2</cp:revision>
  <dcterms:created xsi:type="dcterms:W3CDTF">2022-02-05T17:15:00Z</dcterms:created>
  <dcterms:modified xsi:type="dcterms:W3CDTF">2022-02-05T17:15:00Z</dcterms:modified>
</cp:coreProperties>
</file>